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8C" w:rsidRDefault="009E028C">
      <w:pPr>
        <w:jc w:val="center"/>
        <w:rPr>
          <w:b/>
          <w:sz w:val="28"/>
          <w:szCs w:val="28"/>
          <w:u w:val="single"/>
        </w:rPr>
      </w:pPr>
    </w:p>
    <w:p w:rsidR="00986762" w:rsidRDefault="00986762">
      <w:pPr>
        <w:jc w:val="center"/>
        <w:rPr>
          <w:b/>
          <w:sz w:val="28"/>
          <w:szCs w:val="28"/>
          <w:u w:val="single"/>
        </w:rPr>
      </w:pPr>
    </w:p>
    <w:p w:rsidR="00986762" w:rsidRDefault="00986762">
      <w:pPr>
        <w:jc w:val="center"/>
        <w:rPr>
          <w:b/>
          <w:sz w:val="28"/>
          <w:szCs w:val="28"/>
          <w:u w:val="single"/>
        </w:rPr>
      </w:pPr>
    </w:p>
    <w:p w:rsidR="00986762" w:rsidRDefault="00986762">
      <w:pPr>
        <w:jc w:val="center"/>
        <w:rPr>
          <w:b/>
          <w:sz w:val="28"/>
          <w:szCs w:val="28"/>
          <w:u w:val="single"/>
        </w:rPr>
      </w:pPr>
    </w:p>
    <w:p w:rsidR="00986762" w:rsidRDefault="00986762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FC660D0" wp14:editId="687CD0CB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3051810" cy="3747770"/>
            <wp:effectExtent l="0" t="0" r="0" b="5080"/>
            <wp:wrapSquare wrapText="bothSides" distT="0" distB="0" distL="114300" distR="11430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3747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6762" w:rsidRDefault="00986762">
      <w:pPr>
        <w:jc w:val="center"/>
        <w:rPr>
          <w:b/>
          <w:sz w:val="28"/>
          <w:szCs w:val="28"/>
          <w:u w:val="single"/>
        </w:rPr>
      </w:pPr>
    </w:p>
    <w:p w:rsidR="00986762" w:rsidRDefault="00986762">
      <w:pPr>
        <w:jc w:val="center"/>
        <w:rPr>
          <w:b/>
          <w:sz w:val="28"/>
          <w:szCs w:val="28"/>
          <w:u w:val="single"/>
        </w:rPr>
      </w:pPr>
    </w:p>
    <w:p w:rsidR="00986762" w:rsidRDefault="00986762">
      <w:pPr>
        <w:jc w:val="center"/>
        <w:rPr>
          <w:b/>
          <w:sz w:val="28"/>
          <w:szCs w:val="28"/>
          <w:u w:val="single"/>
        </w:rPr>
      </w:pPr>
    </w:p>
    <w:p w:rsidR="00986762" w:rsidRDefault="00986762">
      <w:pPr>
        <w:jc w:val="center"/>
        <w:rPr>
          <w:b/>
          <w:sz w:val="28"/>
          <w:szCs w:val="28"/>
          <w:u w:val="single"/>
        </w:rPr>
      </w:pPr>
    </w:p>
    <w:p w:rsidR="00986762" w:rsidRDefault="00986762">
      <w:pPr>
        <w:jc w:val="center"/>
        <w:rPr>
          <w:b/>
          <w:sz w:val="28"/>
          <w:szCs w:val="28"/>
          <w:u w:val="single"/>
        </w:rPr>
      </w:pPr>
    </w:p>
    <w:p w:rsidR="00986762" w:rsidRDefault="00986762">
      <w:pPr>
        <w:jc w:val="center"/>
        <w:rPr>
          <w:b/>
          <w:sz w:val="28"/>
          <w:szCs w:val="28"/>
          <w:u w:val="single"/>
        </w:rPr>
      </w:pPr>
    </w:p>
    <w:p w:rsidR="00986762" w:rsidRDefault="00986762">
      <w:pPr>
        <w:jc w:val="center"/>
        <w:rPr>
          <w:b/>
          <w:sz w:val="28"/>
          <w:szCs w:val="28"/>
          <w:u w:val="single"/>
        </w:rPr>
      </w:pPr>
    </w:p>
    <w:p w:rsidR="00986762" w:rsidRDefault="00986762">
      <w:pPr>
        <w:jc w:val="center"/>
        <w:rPr>
          <w:b/>
          <w:sz w:val="28"/>
          <w:szCs w:val="28"/>
          <w:u w:val="single"/>
        </w:rPr>
      </w:pPr>
    </w:p>
    <w:p w:rsidR="00986762" w:rsidRDefault="00986762">
      <w:pPr>
        <w:jc w:val="center"/>
        <w:rPr>
          <w:b/>
          <w:sz w:val="28"/>
          <w:szCs w:val="28"/>
          <w:u w:val="single"/>
        </w:rPr>
      </w:pPr>
    </w:p>
    <w:p w:rsidR="00986762" w:rsidRDefault="00986762">
      <w:pPr>
        <w:jc w:val="center"/>
        <w:rPr>
          <w:b/>
          <w:sz w:val="28"/>
          <w:szCs w:val="28"/>
          <w:u w:val="single"/>
        </w:rPr>
      </w:pPr>
    </w:p>
    <w:p w:rsidR="00986762" w:rsidRDefault="00986762">
      <w:pPr>
        <w:jc w:val="center"/>
        <w:rPr>
          <w:b/>
          <w:sz w:val="28"/>
          <w:szCs w:val="28"/>
          <w:u w:val="single"/>
        </w:rPr>
      </w:pPr>
    </w:p>
    <w:p w:rsidR="00986762" w:rsidRDefault="00986762">
      <w:pPr>
        <w:jc w:val="center"/>
        <w:rPr>
          <w:b/>
          <w:sz w:val="28"/>
          <w:szCs w:val="28"/>
          <w:u w:val="single"/>
        </w:rPr>
      </w:pPr>
    </w:p>
    <w:p w:rsidR="00986762" w:rsidRDefault="00986762">
      <w:pPr>
        <w:jc w:val="center"/>
        <w:rPr>
          <w:b/>
          <w:sz w:val="28"/>
          <w:szCs w:val="28"/>
          <w:u w:val="single"/>
        </w:rPr>
      </w:pPr>
    </w:p>
    <w:p w:rsidR="00986762" w:rsidRDefault="00986762" w:rsidP="00986762">
      <w:pPr>
        <w:rPr>
          <w:b/>
          <w:sz w:val="28"/>
          <w:szCs w:val="28"/>
          <w:u w:val="single"/>
        </w:rPr>
      </w:pPr>
    </w:p>
    <w:p w:rsidR="00986762" w:rsidRDefault="00986762" w:rsidP="00986762">
      <w:pPr>
        <w:spacing w:after="0" w:line="240" w:lineRule="auto"/>
        <w:ind w:hanging="2"/>
        <w:rPr>
          <w:sz w:val="24"/>
          <w:szCs w:val="24"/>
        </w:rPr>
      </w:pPr>
    </w:p>
    <w:p w:rsidR="00986762" w:rsidRDefault="00986762" w:rsidP="00986762">
      <w:pPr>
        <w:spacing w:after="0" w:line="240" w:lineRule="auto"/>
        <w:ind w:left="3" w:hanging="5"/>
        <w:jc w:val="center"/>
        <w:rPr>
          <w:sz w:val="48"/>
          <w:szCs w:val="48"/>
        </w:rPr>
      </w:pPr>
      <w:r>
        <w:rPr>
          <w:b/>
          <w:i/>
          <w:sz w:val="48"/>
          <w:szCs w:val="48"/>
        </w:rPr>
        <w:t>Protocolo de actuación en caso de porte o uso de armas</w:t>
      </w:r>
    </w:p>
    <w:p w:rsidR="00986762" w:rsidRDefault="00986762" w:rsidP="00986762">
      <w:pPr>
        <w:spacing w:after="0" w:line="240" w:lineRule="auto"/>
        <w:ind w:left="3" w:hanging="5"/>
        <w:jc w:val="center"/>
        <w:rPr>
          <w:sz w:val="48"/>
          <w:szCs w:val="48"/>
        </w:rPr>
      </w:pPr>
      <w:r>
        <w:rPr>
          <w:b/>
          <w:i/>
          <w:sz w:val="48"/>
          <w:szCs w:val="48"/>
        </w:rPr>
        <w:t>Año 2023</w:t>
      </w:r>
    </w:p>
    <w:p w:rsidR="00963370" w:rsidRDefault="00963370">
      <w:pPr>
        <w:jc w:val="both"/>
      </w:pPr>
    </w:p>
    <w:p w:rsidR="00963370" w:rsidRDefault="00963370">
      <w:pPr>
        <w:jc w:val="both"/>
      </w:pPr>
    </w:p>
    <w:p w:rsidR="009E028C" w:rsidRDefault="00270C57">
      <w:pPr>
        <w:jc w:val="both"/>
      </w:pPr>
      <w:r>
        <w:t>De acuerdo</w:t>
      </w:r>
      <w:r>
        <w:t xml:space="preserve"> a la normativa legal, el uso de las armas está tratado en el Código penal y en la ley de control de armas cuyo texto refundido está en el Decreto Supremo 400 del Ministerio de Defensa del año 1978. (Ley 17.798). En todo establecimiento educacion</w:t>
      </w:r>
      <w:r>
        <w:t>al está prohibido portar todo tipo de armas (blancas y/o de fuego), instrumentos, utensilios u objetos cortantes, punzantes o contundentes, ya sean genuinos o con apariencia de ser reales, aun cuando no se haya hecho uso de ellos.</w:t>
      </w:r>
    </w:p>
    <w:p w:rsidR="009E028C" w:rsidRDefault="009E028C">
      <w:pPr>
        <w:jc w:val="both"/>
      </w:pPr>
    </w:p>
    <w:p w:rsidR="009E028C" w:rsidRDefault="0027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Definiciones Fundamental</w:t>
      </w:r>
      <w:r>
        <w:rPr>
          <w:b/>
          <w:color w:val="000000"/>
        </w:rPr>
        <w:t>es</w:t>
      </w:r>
    </w:p>
    <w:p w:rsidR="009E028C" w:rsidRDefault="009E028C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b/>
          <w:color w:val="000000"/>
        </w:rPr>
      </w:pPr>
    </w:p>
    <w:p w:rsidR="009E028C" w:rsidRDefault="00270C57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Se considera un arma: </w:t>
      </w:r>
    </w:p>
    <w:p w:rsidR="009E028C" w:rsidRDefault="00270C57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color w:val="000000"/>
        </w:rPr>
      </w:pPr>
      <w:r>
        <w:rPr>
          <w:b/>
          <w:color w:val="000000"/>
        </w:rPr>
        <w:t>a.</w:t>
      </w:r>
      <w:r>
        <w:rPr>
          <w:color w:val="000000"/>
        </w:rPr>
        <w:t xml:space="preserve"> Arma “blanca” o “corto punzante”: es aquella arma o herramienta que se caracteriza por su capacidad de cortar, herir o punzar mediante bordes afilados o puntiagudos.</w:t>
      </w:r>
    </w:p>
    <w:p w:rsidR="009E028C" w:rsidRDefault="00270C57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color w:val="000000"/>
        </w:rPr>
      </w:pPr>
      <w:r>
        <w:rPr>
          <w:b/>
          <w:color w:val="000000"/>
        </w:rPr>
        <w:t xml:space="preserve"> b.</w:t>
      </w:r>
      <w:r>
        <w:rPr>
          <w:color w:val="000000"/>
        </w:rPr>
        <w:t xml:space="preserve"> </w:t>
      </w:r>
      <w:r>
        <w:t>Arma de</w:t>
      </w:r>
      <w:r>
        <w:rPr>
          <w:color w:val="000000"/>
        </w:rPr>
        <w:t xml:space="preserve"> </w:t>
      </w:r>
      <w:r>
        <w:t>fuego</w:t>
      </w:r>
      <w:r>
        <w:rPr>
          <w:color w:val="000000"/>
        </w:rPr>
        <w:t xml:space="preserve">: </w:t>
      </w:r>
      <w:r>
        <w:t>Es un</w:t>
      </w:r>
      <w:r>
        <w:rPr>
          <w:color w:val="000000"/>
        </w:rPr>
        <w:t xml:space="preserve"> dispositivo destinado a propulsar </w:t>
      </w:r>
      <w:r>
        <w:rPr>
          <w:color w:val="000000"/>
        </w:rPr>
        <w:t xml:space="preserve">uno o múltiples proyectiles mediante la presión generada por la combustión de un </w:t>
      </w:r>
      <w:proofErr w:type="spellStart"/>
      <w:r>
        <w:rPr>
          <w:color w:val="000000"/>
        </w:rPr>
        <w:t>propelente</w:t>
      </w:r>
      <w:proofErr w:type="spellEnd"/>
      <w:r>
        <w:rPr>
          <w:color w:val="000000"/>
        </w:rPr>
        <w:t xml:space="preserve"> (que sirve para expulsar líquido de un aerosol). Dentro de esta definición también se incluyen las armas hechizas, así como las de fantasía, como fogueo, u otras si</w:t>
      </w:r>
      <w:r>
        <w:rPr>
          <w:color w:val="000000"/>
        </w:rPr>
        <w:t xml:space="preserve">milares. También abarca a las municiones y balas no </w:t>
      </w:r>
      <w:proofErr w:type="spellStart"/>
      <w:r>
        <w:rPr>
          <w:color w:val="000000"/>
        </w:rPr>
        <w:t>percutadas</w:t>
      </w:r>
      <w:proofErr w:type="spellEnd"/>
      <w:r>
        <w:rPr>
          <w:color w:val="000000"/>
        </w:rPr>
        <w:t xml:space="preserve">. </w:t>
      </w:r>
    </w:p>
    <w:p w:rsidR="009E028C" w:rsidRDefault="00270C57">
      <w:pPr>
        <w:pBdr>
          <w:top w:val="nil"/>
          <w:left w:val="nil"/>
          <w:bottom w:val="nil"/>
          <w:right w:val="nil"/>
          <w:between w:val="nil"/>
        </w:pBdr>
        <w:ind w:left="405"/>
        <w:jc w:val="both"/>
        <w:rPr>
          <w:color w:val="000000"/>
        </w:rPr>
      </w:pPr>
      <w:r>
        <w:rPr>
          <w:b/>
          <w:color w:val="000000"/>
        </w:rPr>
        <w:t>c.</w:t>
      </w:r>
      <w:r>
        <w:rPr>
          <w:color w:val="000000"/>
        </w:rPr>
        <w:t xml:space="preserve"> Explosivos, químicos y otros: En este se incluyen explosivos, material químico que pueda utilizarse para fabricar explosivos, fuegos artificiales y armas basadas en pulsaciones eléctricas.</w:t>
      </w:r>
    </w:p>
    <w:p w:rsidR="009E028C" w:rsidRDefault="009E028C">
      <w:pPr>
        <w:jc w:val="both"/>
      </w:pPr>
    </w:p>
    <w:p w:rsidR="009E028C" w:rsidRDefault="0027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Procedimiento en caso de porte o uso de armas</w:t>
      </w:r>
    </w:p>
    <w:p w:rsidR="009E028C" w:rsidRDefault="009E028C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b/>
          <w:color w:val="000000"/>
        </w:rPr>
      </w:pPr>
    </w:p>
    <w:p w:rsidR="009E028C" w:rsidRDefault="00270C57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 A continuación, se presenta el protocolo de actuación en caso de tenencia o uso de armas en el establecimiento. Este instrumento será revisado periódicamente para mantenerlo actualizado de acuerdo a los requerimientos que surjan de su implementación en la</w:t>
      </w:r>
      <w:r>
        <w:rPr>
          <w:color w:val="000000"/>
        </w:rPr>
        <w:t xml:space="preserve"> práctica y los ajustes derivados de los avances legislativos. El procedimiento que se describe a continuación se aplica a todo estudiante mayor de 15 años según nuestro contexto educacional.</w:t>
      </w:r>
    </w:p>
    <w:p w:rsidR="009E028C" w:rsidRDefault="00270C57" w:rsidP="00986762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E028C" w:rsidRDefault="009E028C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color w:val="000000"/>
        </w:rPr>
      </w:pPr>
    </w:p>
    <w:p w:rsidR="00963370" w:rsidRDefault="00963370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color w:val="000000"/>
        </w:rPr>
      </w:pPr>
    </w:p>
    <w:p w:rsidR="00963370" w:rsidRDefault="00963370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color w:val="000000"/>
        </w:rPr>
      </w:pPr>
    </w:p>
    <w:p w:rsidR="00963370" w:rsidRDefault="00963370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color w:val="000000"/>
        </w:rPr>
      </w:pPr>
    </w:p>
    <w:p w:rsidR="00963370" w:rsidRDefault="00963370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color w:val="000000"/>
        </w:rPr>
      </w:pPr>
    </w:p>
    <w:p w:rsidR="00963370" w:rsidRDefault="00963370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color w:val="000000"/>
        </w:rPr>
      </w:pPr>
    </w:p>
    <w:p w:rsidR="00963370" w:rsidRDefault="00963370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color w:val="000000"/>
        </w:rPr>
      </w:pPr>
    </w:p>
    <w:p w:rsidR="00963370" w:rsidRDefault="00963370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color w:val="000000"/>
        </w:rPr>
      </w:pPr>
    </w:p>
    <w:p w:rsidR="00963370" w:rsidRDefault="00963370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color w:val="000000"/>
        </w:rPr>
      </w:pPr>
      <w:bookmarkStart w:id="1" w:name="_GoBack"/>
      <w:bookmarkEnd w:id="1"/>
    </w:p>
    <w:p w:rsidR="009E028C" w:rsidRDefault="009E028C">
      <w:pPr>
        <w:pBdr>
          <w:top w:val="nil"/>
          <w:left w:val="nil"/>
          <w:bottom w:val="nil"/>
          <w:right w:val="nil"/>
          <w:between w:val="nil"/>
        </w:pBdr>
        <w:ind w:left="405"/>
        <w:jc w:val="both"/>
        <w:rPr>
          <w:color w:val="000000"/>
        </w:rPr>
      </w:pPr>
    </w:p>
    <w:tbl>
      <w:tblPr>
        <w:tblStyle w:val="a"/>
        <w:tblW w:w="95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970"/>
        <w:gridCol w:w="2051"/>
      </w:tblGrid>
      <w:tr w:rsidR="009E028C">
        <w:trPr>
          <w:trHeight w:val="273"/>
        </w:trPr>
        <w:tc>
          <w:tcPr>
            <w:tcW w:w="1560" w:type="dxa"/>
          </w:tcPr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ETAPAS</w:t>
            </w:r>
          </w:p>
        </w:tc>
        <w:tc>
          <w:tcPr>
            <w:tcW w:w="5970" w:type="dxa"/>
          </w:tcPr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DESCRIPCIÓN</w:t>
            </w:r>
          </w:p>
        </w:tc>
        <w:tc>
          <w:tcPr>
            <w:tcW w:w="2051" w:type="dxa"/>
          </w:tcPr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ENCARGADO</w:t>
            </w:r>
          </w:p>
        </w:tc>
      </w:tr>
      <w:tr w:rsidR="009E028C">
        <w:trPr>
          <w:trHeight w:val="6794"/>
        </w:trPr>
        <w:tc>
          <w:tcPr>
            <w:tcW w:w="1560" w:type="dxa"/>
          </w:tcPr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Detección</w:t>
            </w:r>
          </w:p>
        </w:tc>
        <w:tc>
          <w:tcPr>
            <w:tcW w:w="5970" w:type="dxa"/>
          </w:tcPr>
          <w:p w:rsidR="009E028C" w:rsidRDefault="00270C57">
            <w:pPr>
              <w:jc w:val="both"/>
            </w:pPr>
            <w:r>
              <w:t xml:space="preserve">Quien sorprenda al estudiante portando o utilizando arma deberá, mediante el diálogo, solicitar que por su propio cuidado y el de los demás entregue el arma. </w:t>
            </w:r>
          </w:p>
          <w:p w:rsidR="009E028C" w:rsidRDefault="009E028C">
            <w:pPr>
              <w:jc w:val="both"/>
            </w:pPr>
          </w:p>
          <w:p w:rsidR="009E028C" w:rsidRDefault="00270C57">
            <w:pPr>
              <w:jc w:val="both"/>
            </w:pPr>
            <w:r>
              <w:t>De existir algún lesionado o herido, se solicitará el apoyo de enfermería, bomberos o apoyo de cualquier otra índole pertinente.</w:t>
            </w:r>
          </w:p>
          <w:p w:rsidR="009E028C" w:rsidRDefault="009E028C">
            <w:pPr>
              <w:jc w:val="both"/>
            </w:pPr>
          </w:p>
          <w:p w:rsidR="009E028C" w:rsidRDefault="00270C57">
            <w:pPr>
              <w:jc w:val="both"/>
            </w:pPr>
            <w:r>
              <w:t xml:space="preserve">Se debe informar a los apoderados de los estudiantes que resultaron afectados. </w:t>
            </w:r>
          </w:p>
          <w:p w:rsidR="009E028C" w:rsidRDefault="009E028C">
            <w:pPr>
              <w:jc w:val="both"/>
            </w:pPr>
          </w:p>
          <w:p w:rsidR="009E028C" w:rsidRDefault="00270C57">
            <w:pPr>
              <w:jc w:val="both"/>
            </w:pPr>
            <w:r>
              <w:t>Se llevará a cabo la evacuación parcial o tot</w:t>
            </w:r>
            <w:r>
              <w:t xml:space="preserve">al si fuera necesario, en el entendido de que lo más importante es la protección e integridad de las personas, seguido por la custodia del arma si ésta fuera entregada. </w:t>
            </w:r>
          </w:p>
          <w:p w:rsidR="009E028C" w:rsidRDefault="009E028C">
            <w:pPr>
              <w:jc w:val="both"/>
            </w:pPr>
          </w:p>
          <w:p w:rsidR="009E028C" w:rsidRDefault="00270C57">
            <w:pPr>
              <w:jc w:val="both"/>
            </w:pPr>
            <w:r>
              <w:t>La requisa del arma y toda acción de esa naturaleza, ante situaciones de violencia po</w:t>
            </w:r>
            <w:r>
              <w:t>r uso de armas, la debe realizar carabineros o quien corresponda de las autoridades policiales.</w:t>
            </w:r>
          </w:p>
          <w:p w:rsidR="009E028C" w:rsidRDefault="009E028C">
            <w:pPr>
              <w:jc w:val="both"/>
            </w:pPr>
          </w:p>
          <w:p w:rsidR="009E028C" w:rsidRDefault="00270C57">
            <w:pPr>
              <w:jc w:val="both"/>
            </w:pPr>
            <w:r>
              <w:t xml:space="preserve"> Llevar al estudiante con el equipo de Convivencia Escolar e informar a Dirección.</w:t>
            </w:r>
          </w:p>
        </w:tc>
        <w:tc>
          <w:tcPr>
            <w:tcW w:w="2051" w:type="dxa"/>
          </w:tcPr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Quien observa el hecho</w:t>
            </w:r>
          </w:p>
        </w:tc>
      </w:tr>
      <w:tr w:rsidR="009E028C">
        <w:trPr>
          <w:trHeight w:val="1899"/>
        </w:trPr>
        <w:tc>
          <w:tcPr>
            <w:tcW w:w="1560" w:type="dxa"/>
          </w:tcPr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Registro</w:t>
            </w:r>
          </w:p>
        </w:tc>
        <w:tc>
          <w:tcPr>
            <w:tcW w:w="5970" w:type="dxa"/>
          </w:tcPr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 solicita al estudiante que relate lo sucedido y se deja registro en hoja de entrevista o acta de convivencia </w:t>
            </w:r>
            <w:r>
              <w:t>escolar</w:t>
            </w:r>
            <w:r>
              <w:rPr>
                <w:color w:val="000000"/>
              </w:rPr>
              <w:t xml:space="preserve">. </w:t>
            </w:r>
            <w:r>
              <w:t>Se lee</w:t>
            </w:r>
            <w:r>
              <w:rPr>
                <w:color w:val="000000"/>
              </w:rPr>
              <w:t xml:space="preserve"> lo redactado y se firma.</w:t>
            </w:r>
          </w:p>
          <w:p w:rsidR="009E028C" w:rsidRDefault="009E0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E028C" w:rsidRDefault="009E0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2051" w:type="dxa"/>
          </w:tcPr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Equipo de Convivencia Escolar.</w:t>
            </w:r>
          </w:p>
        </w:tc>
      </w:tr>
      <w:tr w:rsidR="009E028C">
        <w:trPr>
          <w:trHeight w:val="4119"/>
        </w:trPr>
        <w:tc>
          <w:tcPr>
            <w:tcW w:w="1560" w:type="dxa"/>
          </w:tcPr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Denuncia</w:t>
            </w:r>
          </w:p>
        </w:tc>
        <w:tc>
          <w:tcPr>
            <w:tcW w:w="5970" w:type="dxa"/>
          </w:tcPr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</w:rPr>
              <w:t>S</w:t>
            </w:r>
            <w:r>
              <w:rPr>
                <w:color w:val="000000"/>
              </w:rPr>
              <w:t xml:space="preserve">e comunica a Dirección. </w:t>
            </w:r>
          </w:p>
          <w:p w:rsidR="009E028C" w:rsidRDefault="009E0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 informa a los apoderados del estudiante involucrado. </w:t>
            </w:r>
          </w:p>
          <w:p w:rsidR="009E028C" w:rsidRDefault="009E0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t>La Dirección</w:t>
            </w:r>
            <w:r>
              <w:rPr>
                <w:color w:val="000000"/>
              </w:rPr>
              <w:t xml:space="preserve"> llevará la denuncia, por escrito incluyendo todos los antecedentes que se hubiesen recabado. Con un plazo de 24 horas de conocido el hecho.</w:t>
            </w:r>
          </w:p>
          <w:p w:rsidR="009E028C" w:rsidRDefault="009E0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La denuncia debe efectuarse ante Carabinero</w:t>
            </w:r>
            <w:r>
              <w:rPr>
                <w:color w:val="000000"/>
              </w:rPr>
              <w:t xml:space="preserve">s de Chile, Policía de Investigaciones o en la oficina del Ministerio </w:t>
            </w:r>
            <w:r>
              <w:t>Público</w:t>
            </w:r>
            <w:r>
              <w:rPr>
                <w:color w:val="000000"/>
              </w:rPr>
              <w:t xml:space="preserve"> más cercana. A su vez se entregará oficio a Provincial de Educación y/o Superintendencia.</w:t>
            </w:r>
          </w:p>
          <w:p w:rsidR="009E028C" w:rsidRDefault="009E0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 informa al Equipo de Convivencia Escolar.</w:t>
            </w:r>
          </w:p>
        </w:tc>
        <w:tc>
          <w:tcPr>
            <w:tcW w:w="2051" w:type="dxa"/>
          </w:tcPr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Dirección</w:t>
            </w:r>
          </w:p>
        </w:tc>
      </w:tr>
      <w:tr w:rsidR="009E028C">
        <w:trPr>
          <w:trHeight w:val="273"/>
        </w:trPr>
        <w:tc>
          <w:tcPr>
            <w:tcW w:w="1560" w:type="dxa"/>
          </w:tcPr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Medidas</w:t>
            </w:r>
          </w:p>
        </w:tc>
        <w:tc>
          <w:tcPr>
            <w:tcW w:w="5970" w:type="dxa"/>
          </w:tcPr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 aplicaran medidas según reglamento de convivencia Escolar</w:t>
            </w:r>
          </w:p>
        </w:tc>
        <w:tc>
          <w:tcPr>
            <w:tcW w:w="2051" w:type="dxa"/>
          </w:tcPr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Dirección</w:t>
            </w:r>
          </w:p>
          <w:p w:rsidR="009E028C" w:rsidRDefault="009E0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  <w:p w:rsidR="009E028C" w:rsidRDefault="0027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Equipo de Convivencia Escolar</w:t>
            </w:r>
          </w:p>
        </w:tc>
      </w:tr>
    </w:tbl>
    <w:p w:rsidR="009E028C" w:rsidRDefault="009E028C">
      <w:pPr>
        <w:pBdr>
          <w:top w:val="nil"/>
          <w:left w:val="nil"/>
          <w:bottom w:val="nil"/>
          <w:right w:val="nil"/>
          <w:between w:val="nil"/>
        </w:pBdr>
        <w:ind w:left="405"/>
        <w:jc w:val="both"/>
        <w:rPr>
          <w:color w:val="000000"/>
        </w:rPr>
      </w:pPr>
    </w:p>
    <w:sectPr w:rsidR="009E028C"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57" w:rsidRDefault="00270C57" w:rsidP="00986762">
      <w:pPr>
        <w:spacing w:after="0" w:line="240" w:lineRule="auto"/>
      </w:pPr>
      <w:r>
        <w:separator/>
      </w:r>
    </w:p>
  </w:endnote>
  <w:endnote w:type="continuationSeparator" w:id="0">
    <w:p w:rsidR="00270C57" w:rsidRDefault="00270C57" w:rsidP="0098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62" w:rsidRDefault="00986762" w:rsidP="00986762">
    <w:pPr>
      <w:spacing w:after="0" w:line="240" w:lineRule="auto"/>
      <w:ind w:right="128" w:hanging="2"/>
      <w:jc w:val="center"/>
      <w:rPr>
        <w:sz w:val="24"/>
        <w:szCs w:val="24"/>
      </w:rPr>
    </w:pPr>
    <w:r>
      <w:rPr>
        <w:b/>
        <w:sz w:val="24"/>
        <w:szCs w:val="24"/>
      </w:rPr>
      <w:t>Corporación Educacional Nahuelquín</w:t>
    </w:r>
  </w:p>
  <w:p w:rsidR="00986762" w:rsidRDefault="00986762" w:rsidP="00986762">
    <w:pPr>
      <w:spacing w:after="0" w:line="240" w:lineRule="auto"/>
      <w:ind w:right="128" w:hanging="2"/>
      <w:jc w:val="center"/>
      <w:rPr>
        <w:sz w:val="24"/>
        <w:szCs w:val="24"/>
      </w:rPr>
    </w:pPr>
    <w:r>
      <w:rPr>
        <w:b/>
        <w:sz w:val="24"/>
        <w:szCs w:val="24"/>
      </w:rPr>
      <w:t>Sede Talcahuano: Gabriel Toro #340.</w:t>
    </w:r>
  </w:p>
  <w:p w:rsidR="00986762" w:rsidRDefault="00986762" w:rsidP="009867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0A427C2" wp14:editId="649628FF">
              <wp:simplePos x="0" y="0"/>
              <wp:positionH relativeFrom="column">
                <wp:posOffset>2527300</wp:posOffset>
              </wp:positionH>
              <wp:positionV relativeFrom="paragraph">
                <wp:posOffset>9474200</wp:posOffset>
              </wp:positionV>
              <wp:extent cx="551180" cy="267335"/>
              <wp:effectExtent l="0" t="0" r="0" b="0"/>
              <wp:wrapNone/>
              <wp:docPr id="2" name="Corchete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4698" y="3660620"/>
                        <a:ext cx="522605" cy="238760"/>
                      </a:xfrm>
                      <a:prstGeom prst="bracketPair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86762" w:rsidRDefault="00986762" w:rsidP="00986762">
                          <w:pPr>
                            <w:spacing w:line="258" w:lineRule="auto"/>
                            <w:ind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PAGE    \* MERGEFORMAT26</w:t>
                          </w:r>
                        </w:p>
                        <w:p w:rsidR="00986762" w:rsidRDefault="00986762" w:rsidP="00986762">
                          <w:pPr>
                            <w:spacing w:line="258" w:lineRule="auto"/>
                            <w:ind w:hanging="2"/>
                          </w:pP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427C2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2" o:spid="_x0000_s1026" type="#_x0000_t185" style="position:absolute;margin-left:199pt;margin-top:746pt;width:43.4pt;height:2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" filled="t" strokecolor="gray" strokeweight="2.25pt">
              <v:stroke startarrowwidth="narrow" startarrowlength="short" endarrowwidth="narrow" endarrowlength="short"/>
              <v:textbox inset="2.53958mm,0,2.53958mm,0">
                <w:txbxContent>
                  <w:p w:rsidR="00986762" w:rsidRDefault="00986762" w:rsidP="00986762">
                    <w:pPr>
                      <w:spacing w:line="258" w:lineRule="auto"/>
                      <w:ind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PAGE    \* MERGEFORMAT26</w:t>
                    </w:r>
                  </w:p>
                  <w:p w:rsidR="00986762" w:rsidRDefault="00986762" w:rsidP="00986762">
                    <w:pPr>
                      <w:spacing w:line="258" w:lineRule="auto"/>
                      <w:ind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FAFB1A6" wp14:editId="423F268A">
              <wp:simplePos x="0" y="0"/>
              <wp:positionH relativeFrom="column">
                <wp:posOffset>50801</wp:posOffset>
              </wp:positionH>
              <wp:positionV relativeFrom="paragraph">
                <wp:posOffset>9601200</wp:posOffset>
              </wp:positionV>
              <wp:extent cx="0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86925" y="378000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45C2F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4pt;margin-top:756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" strokecolor="gray" strokeweight="1pt"/>
          </w:pict>
        </mc:Fallback>
      </mc:AlternateContent>
    </w:r>
  </w:p>
  <w:p w:rsidR="00986762" w:rsidRDefault="009867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57" w:rsidRDefault="00270C57" w:rsidP="00986762">
      <w:pPr>
        <w:spacing w:after="0" w:line="240" w:lineRule="auto"/>
      </w:pPr>
      <w:r>
        <w:separator/>
      </w:r>
    </w:p>
  </w:footnote>
  <w:footnote w:type="continuationSeparator" w:id="0">
    <w:p w:rsidR="00270C57" w:rsidRDefault="00270C57" w:rsidP="00986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159"/>
    <w:multiLevelType w:val="multilevel"/>
    <w:tmpl w:val="65864A6A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8C"/>
    <w:rsid w:val="00270C57"/>
    <w:rsid w:val="00963370"/>
    <w:rsid w:val="00986762"/>
    <w:rsid w:val="009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D869"/>
  <w15:docId w15:val="{33BF876D-93A4-401B-94C2-974268CD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C51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6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762"/>
  </w:style>
  <w:style w:type="paragraph" w:styleId="Piedepgina">
    <w:name w:val="footer"/>
    <w:basedOn w:val="Normal"/>
    <w:link w:val="PiedepginaCar"/>
    <w:uiPriority w:val="99"/>
    <w:unhideWhenUsed/>
    <w:rsid w:val="00986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Nstpl34eU9vVZ5AmKt+H/fe5Qg==">AMUW2mWDxQCmm6fM3vRAHnVVEtIUStZ1fZYhfyhjEWXTjMakb73cLQKgdkviiLwdj54H+YuPMx9eA+X2vRsiOCQ+9E/A3N5NWQkWqj63rjyH0ZOPHM1BecojLjPuJeLv2gM5t6lUiQY6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UsuarioCinco</dc:creator>
  <cp:lastModifiedBy>Convivencia Escolar</cp:lastModifiedBy>
  <cp:revision>2</cp:revision>
  <dcterms:created xsi:type="dcterms:W3CDTF">2022-03-25T12:46:00Z</dcterms:created>
  <dcterms:modified xsi:type="dcterms:W3CDTF">2023-03-24T16:08:00Z</dcterms:modified>
</cp:coreProperties>
</file>